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Fahrzeuge des zentralisierten Fuhrparks für 2027 (Leasi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